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E649E" w14:textId="4310447C" w:rsidR="006E47DB" w:rsidRPr="00D6212F" w:rsidRDefault="00D6212F" w:rsidP="006E47DB">
      <w:pPr>
        <w:pStyle w:val="Default"/>
        <w:jc w:val="right"/>
        <w:rPr>
          <w:rFonts w:ascii="Muli" w:hAnsi="Muli"/>
          <w:sz w:val="18"/>
          <w:szCs w:val="22"/>
        </w:rPr>
      </w:pPr>
      <w:r w:rsidRPr="00D6212F">
        <w:rPr>
          <w:rFonts w:ascii="Muli" w:hAnsi="Muli"/>
          <w:sz w:val="18"/>
          <w:szCs w:val="22"/>
        </w:rPr>
        <w:t xml:space="preserve">Załącznik nr 1 do Uchwały Senatu nr 242/IV/2020 z dn. 27.04.2020 r. </w:t>
      </w:r>
    </w:p>
    <w:p w14:paraId="3B9540D8" w14:textId="77777777" w:rsidR="00AE253C" w:rsidRDefault="00AE253C" w:rsidP="00D6212F">
      <w:pPr>
        <w:pStyle w:val="Default"/>
        <w:jc w:val="center"/>
        <w:rPr>
          <w:rFonts w:ascii="Muli" w:hAnsi="Muli"/>
          <w:b/>
          <w:sz w:val="22"/>
          <w:szCs w:val="22"/>
        </w:rPr>
      </w:pPr>
    </w:p>
    <w:p w14:paraId="072921A8" w14:textId="77777777" w:rsidR="00D6212F" w:rsidRPr="00D6212F" w:rsidRDefault="00D6212F" w:rsidP="00D6212F">
      <w:pPr>
        <w:pStyle w:val="Default"/>
        <w:jc w:val="center"/>
        <w:rPr>
          <w:rFonts w:ascii="Muli" w:hAnsi="Muli"/>
          <w:b/>
          <w:sz w:val="22"/>
          <w:szCs w:val="22"/>
        </w:rPr>
      </w:pPr>
    </w:p>
    <w:p w14:paraId="66E99B87" w14:textId="0227E951" w:rsidR="004200EA" w:rsidRDefault="004200EA" w:rsidP="00D6212F">
      <w:pPr>
        <w:pStyle w:val="Default"/>
        <w:jc w:val="center"/>
        <w:rPr>
          <w:rFonts w:ascii="Muli" w:hAnsi="Muli"/>
          <w:b/>
          <w:sz w:val="28"/>
          <w:szCs w:val="22"/>
        </w:rPr>
      </w:pPr>
      <w:r w:rsidRPr="00D6212F">
        <w:rPr>
          <w:rFonts w:ascii="Muli" w:hAnsi="Muli"/>
          <w:b/>
          <w:sz w:val="28"/>
          <w:szCs w:val="22"/>
        </w:rPr>
        <w:t>Erasmus Policy Statement</w:t>
      </w:r>
    </w:p>
    <w:p w14:paraId="502E7B87" w14:textId="23E92D94" w:rsidR="00D6212F" w:rsidRDefault="00D6212F" w:rsidP="00D6212F">
      <w:pPr>
        <w:pStyle w:val="Default"/>
        <w:jc w:val="center"/>
        <w:rPr>
          <w:rFonts w:ascii="Muli" w:hAnsi="Muli"/>
          <w:b/>
        </w:rPr>
      </w:pPr>
      <w:r w:rsidRPr="00946A5E">
        <w:rPr>
          <w:rStyle w:val="gwp9e066e53defaultfonthxmailstyle"/>
          <w:rFonts w:ascii="Muli" w:hAnsi="Muli"/>
          <w:b/>
        </w:rPr>
        <w:t>Polityk</w:t>
      </w:r>
      <w:r>
        <w:rPr>
          <w:rStyle w:val="gwp9e066e53defaultfonthxmailstyle"/>
          <w:rFonts w:ascii="Muli" w:hAnsi="Muli"/>
          <w:b/>
        </w:rPr>
        <w:t>a</w:t>
      </w:r>
      <w:r w:rsidRPr="00946A5E">
        <w:rPr>
          <w:rStyle w:val="gwp9e066e53defaultfonthxmailstyle"/>
          <w:rFonts w:ascii="Muli" w:hAnsi="Muli"/>
          <w:b/>
        </w:rPr>
        <w:t xml:space="preserve"> Uczelni Erasmus+ </w:t>
      </w:r>
      <w:r w:rsidRPr="00946A5E">
        <w:rPr>
          <w:rFonts w:ascii="Muli" w:hAnsi="Muli"/>
          <w:b/>
        </w:rPr>
        <w:t>na lata 2021-2027</w:t>
      </w:r>
    </w:p>
    <w:p w14:paraId="68C665CB" w14:textId="77777777" w:rsidR="00D6212F" w:rsidRDefault="00D6212F" w:rsidP="00D6212F">
      <w:pPr>
        <w:pStyle w:val="Default"/>
        <w:jc w:val="center"/>
        <w:rPr>
          <w:rFonts w:ascii="Muli" w:hAnsi="Muli"/>
          <w:b/>
        </w:rPr>
      </w:pPr>
    </w:p>
    <w:p w14:paraId="1E3C0666" w14:textId="77777777" w:rsidR="00D6212F" w:rsidRPr="00775977" w:rsidRDefault="00D6212F" w:rsidP="00D6212F">
      <w:pPr>
        <w:pStyle w:val="Default"/>
        <w:jc w:val="center"/>
        <w:rPr>
          <w:rFonts w:ascii="Muli" w:hAnsi="Muli"/>
          <w:sz w:val="22"/>
          <w:szCs w:val="22"/>
        </w:rPr>
      </w:pPr>
    </w:p>
    <w:p w14:paraId="2B0078DD" w14:textId="77777777" w:rsidR="004200EA" w:rsidRPr="00775977" w:rsidRDefault="004200EA" w:rsidP="004200EA">
      <w:pPr>
        <w:pStyle w:val="Default"/>
        <w:rPr>
          <w:rFonts w:ascii="Muli" w:hAnsi="Muli"/>
          <w:sz w:val="22"/>
          <w:szCs w:val="22"/>
        </w:rPr>
      </w:pPr>
      <w:r w:rsidRPr="00775977">
        <w:rPr>
          <w:rFonts w:ascii="Muli" w:hAnsi="Muli"/>
          <w:b/>
          <w:bCs/>
          <w:sz w:val="22"/>
          <w:szCs w:val="22"/>
        </w:rPr>
        <w:t xml:space="preserve">1. Rozwój mobilności akademickiej </w:t>
      </w:r>
    </w:p>
    <w:p w14:paraId="4C298290" w14:textId="77777777" w:rsidR="004200EA" w:rsidRPr="00775977" w:rsidRDefault="004200EA" w:rsidP="004200EA">
      <w:pPr>
        <w:pStyle w:val="Default"/>
        <w:rPr>
          <w:rFonts w:ascii="Muli" w:hAnsi="Muli"/>
          <w:sz w:val="22"/>
          <w:szCs w:val="22"/>
        </w:rPr>
      </w:pPr>
    </w:p>
    <w:p w14:paraId="6F82A4B4" w14:textId="73A8D940" w:rsidR="004200EA" w:rsidRPr="00775977" w:rsidRDefault="004200EA" w:rsidP="001F7DD0">
      <w:pPr>
        <w:pStyle w:val="Default"/>
        <w:jc w:val="both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sz w:val="22"/>
          <w:szCs w:val="22"/>
        </w:rPr>
        <w:t xml:space="preserve">Państwowa </w:t>
      </w:r>
      <w:r w:rsidR="004814B2" w:rsidRPr="00775977">
        <w:rPr>
          <w:rFonts w:ascii="Muli" w:hAnsi="Muli" w:cs="Calibri"/>
          <w:sz w:val="22"/>
          <w:szCs w:val="22"/>
        </w:rPr>
        <w:t>Uczelnia im. Stefana Batorego</w:t>
      </w:r>
      <w:r w:rsidRPr="00775977">
        <w:rPr>
          <w:rFonts w:ascii="Muli" w:hAnsi="Muli" w:cs="Calibri"/>
          <w:sz w:val="22"/>
          <w:szCs w:val="22"/>
        </w:rPr>
        <w:t xml:space="preserve"> pragnie </w:t>
      </w:r>
      <w:r w:rsidR="004814B2" w:rsidRPr="00775977">
        <w:rPr>
          <w:rFonts w:ascii="Muli" w:hAnsi="Muli" w:cs="Calibri"/>
          <w:sz w:val="22"/>
          <w:szCs w:val="22"/>
        </w:rPr>
        <w:t xml:space="preserve">aktywnie uczestniczyć w </w:t>
      </w:r>
      <w:r w:rsidRPr="00775977">
        <w:rPr>
          <w:rFonts w:ascii="Muli" w:hAnsi="Muli" w:cs="Calibri"/>
          <w:sz w:val="22"/>
          <w:szCs w:val="22"/>
        </w:rPr>
        <w:t>działania</w:t>
      </w:r>
      <w:r w:rsidR="004814B2" w:rsidRPr="00775977">
        <w:rPr>
          <w:rFonts w:ascii="Muli" w:hAnsi="Muli" w:cs="Calibri"/>
          <w:sz w:val="22"/>
          <w:szCs w:val="22"/>
        </w:rPr>
        <w:t>ch</w:t>
      </w:r>
      <w:r w:rsidRPr="00775977">
        <w:rPr>
          <w:rFonts w:ascii="Muli" w:hAnsi="Muli" w:cs="Calibri"/>
          <w:sz w:val="22"/>
          <w:szCs w:val="22"/>
        </w:rPr>
        <w:t xml:space="preserve"> sprzyjając</w:t>
      </w:r>
      <w:r w:rsidR="001271CC" w:rsidRPr="00775977">
        <w:rPr>
          <w:rFonts w:ascii="Muli" w:hAnsi="Muli" w:cs="Calibri"/>
          <w:sz w:val="22"/>
          <w:szCs w:val="22"/>
        </w:rPr>
        <w:t>ych</w:t>
      </w:r>
      <w:r w:rsidRPr="00775977">
        <w:rPr>
          <w:rFonts w:ascii="Muli" w:hAnsi="Muli" w:cs="Calibri"/>
          <w:sz w:val="22"/>
          <w:szCs w:val="22"/>
        </w:rPr>
        <w:t xml:space="preserve"> </w:t>
      </w:r>
      <w:r w:rsidR="001271CC" w:rsidRPr="00775977">
        <w:rPr>
          <w:rFonts w:ascii="Muli" w:hAnsi="Muli" w:cs="Calibri"/>
          <w:sz w:val="22"/>
          <w:szCs w:val="22"/>
        </w:rPr>
        <w:t>rozwijaniu</w:t>
      </w:r>
      <w:r w:rsidRPr="00775977">
        <w:rPr>
          <w:rFonts w:ascii="Muli" w:hAnsi="Muli" w:cs="Calibri"/>
          <w:sz w:val="22"/>
          <w:szCs w:val="22"/>
        </w:rPr>
        <w:t xml:space="preserve"> Europejskiego Obszaru Szkolnictwa Wyższego oraz realizacji strategii procesu Bolońskiego głównie poprzez rozwój współpracy europejskiej z innymi instytucjami szkolnictwa wyższego w zakresie zwiększenia mobilności studentów </w:t>
      </w:r>
      <w:r w:rsidR="00775977">
        <w:rPr>
          <w:rFonts w:ascii="Muli" w:hAnsi="Muli" w:cs="Calibri"/>
          <w:sz w:val="22"/>
          <w:szCs w:val="22"/>
        </w:rPr>
        <w:br/>
      </w:r>
      <w:r w:rsidRPr="00775977">
        <w:rPr>
          <w:rFonts w:ascii="Muli" w:hAnsi="Muli" w:cs="Calibri"/>
          <w:sz w:val="22"/>
          <w:szCs w:val="22"/>
        </w:rPr>
        <w:t xml:space="preserve">i pracowników Uczelni oraz działań zmierzających do podnoszenia jakości, atrakcyjności </w:t>
      </w:r>
      <w:r w:rsidR="00775977">
        <w:rPr>
          <w:rFonts w:ascii="Muli" w:hAnsi="Muli" w:cs="Calibri"/>
          <w:sz w:val="22"/>
          <w:szCs w:val="22"/>
        </w:rPr>
        <w:br/>
      </w:r>
      <w:r w:rsidRPr="00775977">
        <w:rPr>
          <w:rFonts w:ascii="Muli" w:hAnsi="Muli" w:cs="Calibri"/>
          <w:sz w:val="22"/>
          <w:szCs w:val="22"/>
        </w:rPr>
        <w:t xml:space="preserve">i konkurencyjności kształcenia w europejskich uczelniach. Współpraca zagraniczna odgrywa kluczową rolę w priorytetowych planach rozwoju </w:t>
      </w:r>
      <w:r w:rsidR="004814B2" w:rsidRPr="00775977">
        <w:rPr>
          <w:rFonts w:ascii="Muli" w:hAnsi="Muli" w:cs="Calibri"/>
          <w:sz w:val="22"/>
          <w:szCs w:val="22"/>
        </w:rPr>
        <w:t>PUSB</w:t>
      </w:r>
      <w:r w:rsidRPr="00775977">
        <w:rPr>
          <w:rFonts w:ascii="Muli" w:hAnsi="Muli" w:cs="Calibri"/>
          <w:sz w:val="22"/>
          <w:szCs w:val="22"/>
        </w:rPr>
        <w:t xml:space="preserve">. Obejmuje ona wymianę studentów oraz kadry naukowo-dydaktycznej, wspieranej przez programy unijne. Na bazie celów strategicznych uczelni, celami o najwyższym priorytecie w zakresie mobilności akademickiej są: </w:t>
      </w:r>
    </w:p>
    <w:p w14:paraId="01F577CB" w14:textId="04003DF3" w:rsidR="004200EA" w:rsidRPr="00775977" w:rsidRDefault="004200EA" w:rsidP="00775977">
      <w:pPr>
        <w:pStyle w:val="Bezodstpw"/>
        <w:numPr>
          <w:ilvl w:val="0"/>
          <w:numId w:val="8"/>
        </w:numPr>
        <w:jc w:val="both"/>
        <w:rPr>
          <w:rFonts w:ascii="Muli" w:hAnsi="Muli"/>
          <w:color w:val="000000"/>
        </w:rPr>
      </w:pPr>
      <w:r w:rsidRPr="00775977">
        <w:rPr>
          <w:rFonts w:ascii="Muli" w:hAnsi="Muli"/>
        </w:rPr>
        <w:t>wychodzenie naprzeciw potrzebom edukacyjnym studentów, absolwentów, pracowników i pracodawców</w:t>
      </w:r>
      <w:r w:rsidR="00FF472B" w:rsidRPr="00775977">
        <w:rPr>
          <w:rFonts w:ascii="Muli" w:hAnsi="Muli"/>
        </w:rPr>
        <w:t xml:space="preserve"> w duchu polityki niedyskryminacji</w:t>
      </w:r>
      <w:r w:rsidR="004F15A4" w:rsidRPr="00775977">
        <w:rPr>
          <w:rFonts w:ascii="Muli" w:hAnsi="Muli"/>
        </w:rPr>
        <w:t xml:space="preserve">, </w:t>
      </w:r>
      <w:r w:rsidR="004F15A4" w:rsidRPr="00775977">
        <w:rPr>
          <w:rFonts w:ascii="Muli" w:hAnsi="Muli"/>
          <w:color w:val="000000"/>
        </w:rPr>
        <w:t>zapewnienie promocji mobilności wśród osób ze specjalnymi potrzebami edukacyjnymi;</w:t>
      </w:r>
    </w:p>
    <w:p w14:paraId="49708D49" w14:textId="49091C59" w:rsidR="00CA6995" w:rsidRPr="00775977" w:rsidRDefault="004200EA" w:rsidP="00775977">
      <w:pPr>
        <w:pStyle w:val="Bezodstpw"/>
        <w:numPr>
          <w:ilvl w:val="0"/>
          <w:numId w:val="8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 xml:space="preserve">dalsze udoskonalanie jakości kształcenia, zwłaszcza kształcenia zawodowego </w:t>
      </w:r>
      <w:r w:rsidR="00D6212F">
        <w:rPr>
          <w:rFonts w:ascii="Muli" w:hAnsi="Muli"/>
        </w:rPr>
        <w:br/>
      </w:r>
      <w:r w:rsidRPr="00775977">
        <w:rPr>
          <w:rFonts w:ascii="Muli" w:hAnsi="Muli"/>
        </w:rPr>
        <w:t>i rozszerzanie oferty w tym zakresie</w:t>
      </w:r>
      <w:r w:rsidR="00FF472B" w:rsidRPr="00775977">
        <w:rPr>
          <w:rFonts w:ascii="Muli" w:hAnsi="Muli"/>
        </w:rPr>
        <w:t xml:space="preserve"> w zgodzie z jasną polityką na rzecz rozwoju zintegrowanego, ponadnarodowego;</w:t>
      </w:r>
    </w:p>
    <w:p w14:paraId="6B879309" w14:textId="7D916323" w:rsidR="006232EB" w:rsidRPr="00775977" w:rsidRDefault="004200EA" w:rsidP="00775977">
      <w:pPr>
        <w:pStyle w:val="Bezodstpw"/>
        <w:numPr>
          <w:ilvl w:val="0"/>
          <w:numId w:val="8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 xml:space="preserve">wzrost jakości działalności badawczej, oddziałującej na strategię, zamierzenia </w:t>
      </w:r>
      <w:r w:rsidR="00D6212F">
        <w:rPr>
          <w:rFonts w:ascii="Muli" w:hAnsi="Muli"/>
        </w:rPr>
        <w:br/>
      </w:r>
      <w:r w:rsidRPr="00775977">
        <w:rPr>
          <w:rFonts w:ascii="Muli" w:hAnsi="Muli"/>
        </w:rPr>
        <w:t>i działania praktyczne</w:t>
      </w:r>
      <w:r w:rsidR="006232EB" w:rsidRPr="00775977">
        <w:rPr>
          <w:rFonts w:ascii="Muli" w:hAnsi="Muli"/>
        </w:rPr>
        <w:t>;</w:t>
      </w:r>
    </w:p>
    <w:p w14:paraId="4B20AB91" w14:textId="77777777" w:rsidR="006232EB" w:rsidRPr="00775977" w:rsidRDefault="006232EB" w:rsidP="00775977">
      <w:pPr>
        <w:pStyle w:val="Bezodstpw"/>
        <w:numPr>
          <w:ilvl w:val="0"/>
          <w:numId w:val="8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>zobowiązanie do współpracy w celu pełnej cyfryzacji procesów administracyjnych związanych z zarządzaniem mobilnością</w:t>
      </w:r>
      <w:r w:rsidR="007E4576" w:rsidRPr="00775977">
        <w:rPr>
          <w:rFonts w:ascii="Muli" w:hAnsi="Muli"/>
        </w:rPr>
        <w:t xml:space="preserve"> </w:t>
      </w:r>
      <w:r w:rsidRPr="00775977">
        <w:rPr>
          <w:rFonts w:ascii="Muli" w:hAnsi="Muli"/>
        </w:rPr>
        <w:t>i uczynienia programu bardziej przyjaznym dla środowiska.</w:t>
      </w:r>
    </w:p>
    <w:p w14:paraId="3F62B7B6" w14:textId="77777777" w:rsidR="004200EA" w:rsidRPr="00775977" w:rsidRDefault="004200EA" w:rsidP="00CA6995">
      <w:pPr>
        <w:pStyle w:val="Default"/>
        <w:rPr>
          <w:rFonts w:ascii="Muli" w:hAnsi="Muli" w:cs="Calibri"/>
          <w:sz w:val="22"/>
          <w:szCs w:val="22"/>
        </w:rPr>
      </w:pPr>
    </w:p>
    <w:p w14:paraId="492E9962" w14:textId="77777777" w:rsidR="004200EA" w:rsidRPr="00775977" w:rsidRDefault="004200EA" w:rsidP="000B654D">
      <w:pPr>
        <w:pStyle w:val="Default"/>
        <w:jc w:val="both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sz w:val="22"/>
          <w:szCs w:val="22"/>
        </w:rPr>
        <w:t xml:space="preserve">Mając również na uwadze specyfikę współczesnego społeczeństwa oraz kierunki jego rozwoju pragniemy wspierać aktywność studentów i pracowników związaną z wdrażaniem strategii uczenia się przez całe życie poprzez prowadzenie działalności edukacyjnej tj. kursy specjalistyczne dla dorosłych, studia podyplomowe oraz kursy dokształcające, jak również </w:t>
      </w:r>
      <w:r w:rsidR="000B654D" w:rsidRPr="00775977">
        <w:rPr>
          <w:rFonts w:ascii="Muli" w:hAnsi="Muli" w:cs="Calibri"/>
          <w:sz w:val="22"/>
          <w:szCs w:val="22"/>
        </w:rPr>
        <w:t>rozwijać współpracę z partnerami z innych krajów w ramach porozumienia strategia internacjonalizacji.</w:t>
      </w:r>
    </w:p>
    <w:p w14:paraId="1BBF1D65" w14:textId="4D9529A1" w:rsidR="004200EA" w:rsidRPr="00775977" w:rsidRDefault="004200EA" w:rsidP="001F7DD0">
      <w:pPr>
        <w:pStyle w:val="Default"/>
        <w:jc w:val="both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sz w:val="22"/>
          <w:szCs w:val="22"/>
        </w:rPr>
        <w:t xml:space="preserve">Powyższe założenia są zgodne z polityką Uczelni. Jednostki organizacyjne odpowiedzialne </w:t>
      </w:r>
      <w:r w:rsidR="00D6212F">
        <w:rPr>
          <w:rFonts w:ascii="Muli" w:hAnsi="Muli" w:cs="Calibri"/>
          <w:sz w:val="22"/>
          <w:szCs w:val="22"/>
        </w:rPr>
        <w:br/>
      </w:r>
      <w:r w:rsidRPr="00775977">
        <w:rPr>
          <w:rFonts w:ascii="Muli" w:hAnsi="Muli" w:cs="Calibri"/>
          <w:sz w:val="22"/>
          <w:szCs w:val="22"/>
        </w:rPr>
        <w:t xml:space="preserve">za współpracę międzynarodową w Uczelni zapewnią odpowiednie rozpowszechnianie informacji odnoście wszelkich działań podejmowanych w ramach programu Erasmus+ wśród studentów i pracowników Uczelni. </w:t>
      </w:r>
    </w:p>
    <w:p w14:paraId="0DD76889" w14:textId="77777777" w:rsidR="004200EA" w:rsidRDefault="004200EA" w:rsidP="004200EA">
      <w:pPr>
        <w:pStyle w:val="Default"/>
        <w:rPr>
          <w:rFonts w:ascii="Muli" w:hAnsi="Muli" w:cs="Calibri"/>
          <w:sz w:val="22"/>
          <w:szCs w:val="22"/>
        </w:rPr>
      </w:pPr>
    </w:p>
    <w:p w14:paraId="76C32793" w14:textId="77777777" w:rsidR="00D6212F" w:rsidRPr="00775977" w:rsidRDefault="00D6212F" w:rsidP="004200EA">
      <w:pPr>
        <w:pStyle w:val="Default"/>
        <w:rPr>
          <w:rFonts w:ascii="Muli" w:hAnsi="Muli" w:cs="Calibri"/>
          <w:sz w:val="22"/>
          <w:szCs w:val="22"/>
        </w:rPr>
      </w:pPr>
    </w:p>
    <w:p w14:paraId="1BD21621" w14:textId="77777777" w:rsidR="004200EA" w:rsidRPr="00775977" w:rsidRDefault="004200EA" w:rsidP="004200EA">
      <w:pPr>
        <w:pStyle w:val="Default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b/>
          <w:bCs/>
          <w:sz w:val="22"/>
          <w:szCs w:val="22"/>
        </w:rPr>
        <w:t>2. Zapewnienie równości szans w dostępie do akcji Erasmus+</w:t>
      </w:r>
    </w:p>
    <w:p w14:paraId="65A7B8F7" w14:textId="77777777" w:rsidR="004200EA" w:rsidRPr="00775977" w:rsidRDefault="004200EA" w:rsidP="004200EA">
      <w:pPr>
        <w:pStyle w:val="Default"/>
        <w:rPr>
          <w:rFonts w:ascii="Muli" w:hAnsi="Muli" w:cs="Calibri"/>
          <w:sz w:val="22"/>
          <w:szCs w:val="22"/>
        </w:rPr>
      </w:pPr>
    </w:p>
    <w:p w14:paraId="53DC76ED" w14:textId="049F8578" w:rsidR="004200EA" w:rsidRPr="00775977" w:rsidRDefault="004200EA" w:rsidP="00627CE9">
      <w:pPr>
        <w:pStyle w:val="Default"/>
        <w:jc w:val="both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sz w:val="22"/>
          <w:szCs w:val="22"/>
        </w:rPr>
        <w:t xml:space="preserve">Państwowa </w:t>
      </w:r>
      <w:r w:rsidR="004814B2" w:rsidRPr="00775977">
        <w:rPr>
          <w:rFonts w:ascii="Muli" w:hAnsi="Muli" w:cs="Calibri"/>
          <w:sz w:val="22"/>
          <w:szCs w:val="22"/>
        </w:rPr>
        <w:t>Uczelnia im. Stefana Batorego</w:t>
      </w:r>
      <w:r w:rsidRPr="00775977">
        <w:rPr>
          <w:rFonts w:ascii="Muli" w:hAnsi="Muli" w:cs="Calibri"/>
          <w:sz w:val="22"/>
          <w:szCs w:val="22"/>
        </w:rPr>
        <w:t xml:space="preserve"> zapobiega i zwalcza wszelkie przejawy rasizmu </w:t>
      </w:r>
      <w:r w:rsidR="00D6212F">
        <w:rPr>
          <w:rFonts w:ascii="Muli" w:hAnsi="Muli" w:cs="Calibri"/>
          <w:sz w:val="22"/>
          <w:szCs w:val="22"/>
        </w:rPr>
        <w:br/>
      </w:r>
      <w:r w:rsidRPr="00775977">
        <w:rPr>
          <w:rFonts w:ascii="Muli" w:hAnsi="Muli" w:cs="Calibri"/>
          <w:sz w:val="22"/>
          <w:szCs w:val="22"/>
        </w:rPr>
        <w:t xml:space="preserve">i ksenofobii. Tego rodzaju postawy nie znajdują akceptacji wśród społeczności akademickiej naszej uczelni. Dla zapewnienia wymiany międzynarodowej i współpracy </w:t>
      </w:r>
      <w:r w:rsidR="00627CE9">
        <w:rPr>
          <w:rFonts w:ascii="Muli" w:hAnsi="Muli" w:cs="Calibri"/>
          <w:sz w:val="22"/>
          <w:szCs w:val="22"/>
        </w:rPr>
        <w:br/>
      </w:r>
      <w:r w:rsidRPr="00775977">
        <w:rPr>
          <w:rFonts w:ascii="Muli" w:hAnsi="Muli" w:cs="Calibri"/>
          <w:sz w:val="22"/>
          <w:szCs w:val="22"/>
        </w:rPr>
        <w:t>w ramach projektów Erasmus</w:t>
      </w:r>
      <w:r w:rsidR="006232EB" w:rsidRPr="00775977">
        <w:rPr>
          <w:rFonts w:ascii="Muli" w:hAnsi="Muli" w:cs="Calibri"/>
          <w:sz w:val="22"/>
          <w:szCs w:val="22"/>
        </w:rPr>
        <w:t>+</w:t>
      </w:r>
      <w:r w:rsidRPr="00775977">
        <w:rPr>
          <w:rFonts w:ascii="Muli" w:hAnsi="Muli" w:cs="Calibri"/>
          <w:sz w:val="22"/>
          <w:szCs w:val="22"/>
        </w:rPr>
        <w:t xml:space="preserve">, władze uczelni motywują kadrę naukowo-dydaktyczną </w:t>
      </w:r>
      <w:r w:rsidR="00627CE9">
        <w:rPr>
          <w:rFonts w:ascii="Muli" w:hAnsi="Muli" w:cs="Calibri"/>
          <w:sz w:val="22"/>
          <w:szCs w:val="22"/>
        </w:rPr>
        <w:br/>
      </w:r>
      <w:r w:rsidRPr="00775977">
        <w:rPr>
          <w:rFonts w:ascii="Muli" w:hAnsi="Muli" w:cs="Calibri"/>
          <w:sz w:val="22"/>
          <w:szCs w:val="22"/>
        </w:rPr>
        <w:lastRenderedPageBreak/>
        <w:t xml:space="preserve">i personel administracyjny do skupienia się na rozwoju osobistym i zawodowym. W celu zagwarantowania wysokiej jakości wymiany kadry i studentów, będą podejmowane następujące działania: </w:t>
      </w:r>
    </w:p>
    <w:p w14:paraId="4BCB4F1E" w14:textId="39875436" w:rsidR="004200EA" w:rsidRPr="00775977" w:rsidRDefault="004200EA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 xml:space="preserve">nawiązywanie współpracy poprzez podpisywanie umów międzyuczelnianych </w:t>
      </w:r>
      <w:r w:rsidR="00627CE9">
        <w:rPr>
          <w:rFonts w:ascii="Muli" w:hAnsi="Muli"/>
        </w:rPr>
        <w:br/>
      </w:r>
      <w:r w:rsidRPr="00775977">
        <w:rPr>
          <w:rFonts w:ascii="Muli" w:hAnsi="Muli"/>
        </w:rPr>
        <w:t xml:space="preserve">i ustaleń organizacyjnych z instytucjami partnerskimi (dot. wyjeżdżających </w:t>
      </w:r>
      <w:r w:rsidR="00627CE9">
        <w:rPr>
          <w:rFonts w:ascii="Muli" w:hAnsi="Muli"/>
        </w:rPr>
        <w:br/>
      </w:r>
      <w:r w:rsidRPr="00775977">
        <w:rPr>
          <w:rFonts w:ascii="Muli" w:hAnsi="Muli"/>
        </w:rPr>
        <w:t>i przyjeżdżających studentów</w:t>
      </w:r>
      <w:r w:rsidR="00022211" w:rsidRPr="00775977">
        <w:rPr>
          <w:rFonts w:ascii="Muli" w:hAnsi="Muli"/>
        </w:rPr>
        <w:t xml:space="preserve">, </w:t>
      </w:r>
      <w:r w:rsidRPr="00775977">
        <w:rPr>
          <w:rFonts w:ascii="Muli" w:hAnsi="Muli"/>
        </w:rPr>
        <w:t>nauczycieli akademickich</w:t>
      </w:r>
      <w:r w:rsidR="00022211" w:rsidRPr="00775977">
        <w:rPr>
          <w:rFonts w:ascii="Muli" w:hAnsi="Muli"/>
        </w:rPr>
        <w:t xml:space="preserve"> oraz pracowników administracji </w:t>
      </w:r>
      <w:r w:rsidRPr="00775977">
        <w:rPr>
          <w:rFonts w:ascii="Muli" w:hAnsi="Muli"/>
        </w:rPr>
        <w:t xml:space="preserve">); </w:t>
      </w:r>
    </w:p>
    <w:p w14:paraId="51A716C0" w14:textId="15066B31" w:rsidR="004200EA" w:rsidRPr="00775977" w:rsidRDefault="004200EA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 xml:space="preserve">prowadzenie promocji Programu </w:t>
      </w:r>
      <w:r w:rsidR="006232EB" w:rsidRPr="00775977">
        <w:rPr>
          <w:rFonts w:ascii="Muli" w:hAnsi="Muli"/>
        </w:rPr>
        <w:t xml:space="preserve">Erasmus+ </w:t>
      </w:r>
      <w:r w:rsidRPr="00775977">
        <w:rPr>
          <w:rFonts w:ascii="Muli" w:hAnsi="Muli"/>
        </w:rPr>
        <w:t xml:space="preserve">poprzez popularyzację wśród kadry </w:t>
      </w:r>
      <w:r w:rsidR="00D6212F">
        <w:rPr>
          <w:rFonts w:ascii="Muli" w:hAnsi="Muli"/>
        </w:rPr>
        <w:br/>
      </w:r>
      <w:r w:rsidRPr="00775977">
        <w:rPr>
          <w:rFonts w:ascii="Muli" w:hAnsi="Muli"/>
        </w:rPr>
        <w:t xml:space="preserve">i studentów; </w:t>
      </w:r>
    </w:p>
    <w:p w14:paraId="1220B053" w14:textId="7CE8EE46" w:rsidR="004200EA" w:rsidRPr="00775977" w:rsidRDefault="004200EA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 xml:space="preserve">uznawanie okresów studiów za granicą na podstawie podpisanych porozumień o toku studiów pomiędzy studentami i uczelniami (macierzystą i zagraniczną); </w:t>
      </w:r>
    </w:p>
    <w:p w14:paraId="0B191B33" w14:textId="0F09DF68" w:rsidR="004200EA" w:rsidRPr="00775977" w:rsidRDefault="004200EA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 xml:space="preserve">stosowanie ECTS i suplementu do dyplomu we wszystkich programach w celu ułatwienia mobilności studentów i ułatwienia uznania okresu studiów za granicą; </w:t>
      </w:r>
    </w:p>
    <w:p w14:paraId="5D352C19" w14:textId="08CC4285" w:rsidR="004200EA" w:rsidRPr="00775977" w:rsidRDefault="004200EA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 xml:space="preserve">monitorowanie wyjeżdżających studentów; </w:t>
      </w:r>
    </w:p>
    <w:p w14:paraId="0302D15A" w14:textId="5FA2DAC3" w:rsidR="002A2F5D" w:rsidRPr="00775977" w:rsidRDefault="004200EA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>wspieranie studentów przyjeżdżających do P</w:t>
      </w:r>
      <w:r w:rsidR="004814B2" w:rsidRPr="00775977">
        <w:rPr>
          <w:rFonts w:ascii="Muli" w:hAnsi="Muli"/>
        </w:rPr>
        <w:t>USB</w:t>
      </w:r>
      <w:r w:rsidRPr="00775977">
        <w:rPr>
          <w:rFonts w:ascii="Muli" w:hAnsi="Muli"/>
        </w:rPr>
        <w:t xml:space="preserve"> w zakresie: pomocy administracyjnej, zakwaterowania, podstawowego przygotowania językowego, wprowadzenia do programu studiów, doradztwa akademickiego, włączenia </w:t>
      </w:r>
      <w:r w:rsidR="00627CE9">
        <w:rPr>
          <w:rFonts w:ascii="Muli" w:hAnsi="Muli"/>
        </w:rPr>
        <w:br/>
      </w:r>
      <w:r w:rsidRPr="00775977">
        <w:rPr>
          <w:rFonts w:ascii="Muli" w:hAnsi="Muli"/>
        </w:rPr>
        <w:t xml:space="preserve">w życie studenckie; </w:t>
      </w:r>
    </w:p>
    <w:p w14:paraId="3FF38DF6" w14:textId="324AE9FA" w:rsidR="002A2F5D" w:rsidRPr="00775977" w:rsidRDefault="00022211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 xml:space="preserve">poszerzanie oferty kształcenia z wykorzystaniem nowoczesnych narzędzi informatycznych umożliwiających zdalne kształcenie w systemie synchronicznym </w:t>
      </w:r>
      <w:r w:rsidR="00D6212F">
        <w:rPr>
          <w:rFonts w:ascii="Muli" w:hAnsi="Muli"/>
        </w:rPr>
        <w:br/>
      </w:r>
      <w:r w:rsidRPr="00775977">
        <w:rPr>
          <w:rFonts w:ascii="Muli" w:hAnsi="Muli"/>
        </w:rPr>
        <w:t>i asynchronicznym</w:t>
      </w:r>
      <w:r w:rsidR="004F15A4" w:rsidRPr="00775977">
        <w:rPr>
          <w:rFonts w:ascii="Muli" w:hAnsi="Muli"/>
        </w:rPr>
        <w:t xml:space="preserve"> oraz regularne aktualizowanie katalogu przedmiotów na stronie internetowej uczelni;</w:t>
      </w:r>
    </w:p>
    <w:p w14:paraId="5A1C206D" w14:textId="042D07D9" w:rsidR="002A2F5D" w:rsidRPr="00775977" w:rsidRDefault="00022211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 xml:space="preserve">wymiany okolicznościowe studentów i pracowników uczelni (m.in. wizyty </w:t>
      </w:r>
      <w:r w:rsidR="00627CE9">
        <w:rPr>
          <w:rFonts w:ascii="Muli" w:hAnsi="Muli"/>
        </w:rPr>
        <w:br/>
      </w:r>
      <w:r w:rsidRPr="00775977">
        <w:rPr>
          <w:rFonts w:ascii="Muli" w:hAnsi="Muli"/>
        </w:rPr>
        <w:t>o charakterze studyjnym np. kół naukowych),</w:t>
      </w:r>
    </w:p>
    <w:p w14:paraId="330FB766" w14:textId="77777777" w:rsidR="002A2F5D" w:rsidRPr="00775977" w:rsidRDefault="00022211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>rozwijanie współpracy w zakresie działalności publikacyjnej (wspólne z partnerami zagranicznymi publikacje, monografie również w językach obcych);</w:t>
      </w:r>
    </w:p>
    <w:p w14:paraId="6813C093" w14:textId="2D806E2E" w:rsidR="00022211" w:rsidRPr="00775977" w:rsidRDefault="00022211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>organizacja konferencji międzynarodowych, sympozjów, seminariów;</w:t>
      </w:r>
    </w:p>
    <w:p w14:paraId="5CB01016" w14:textId="002ADF7B" w:rsidR="002A2F5D" w:rsidRPr="00775977" w:rsidRDefault="00022211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>organizacja staży naukowo-badawczych/ praktycznych (doskonalenie metod dydaktycznych, zwiększenie procesu informatyzacji procesu kształcenia)</w:t>
      </w:r>
      <w:r w:rsidR="002A2F5D" w:rsidRPr="00775977">
        <w:rPr>
          <w:rFonts w:ascii="Muli" w:hAnsi="Muli"/>
        </w:rPr>
        <w:t>;</w:t>
      </w:r>
    </w:p>
    <w:p w14:paraId="56C3C29B" w14:textId="25972300" w:rsidR="004200EA" w:rsidRPr="00775977" w:rsidRDefault="004200EA" w:rsidP="00D6212F">
      <w:pPr>
        <w:pStyle w:val="Bezodstpw"/>
        <w:numPr>
          <w:ilvl w:val="0"/>
          <w:numId w:val="9"/>
        </w:numPr>
        <w:jc w:val="both"/>
        <w:rPr>
          <w:rFonts w:ascii="Muli" w:hAnsi="Muli"/>
        </w:rPr>
      </w:pPr>
      <w:r w:rsidRPr="00775977">
        <w:rPr>
          <w:rFonts w:ascii="Muli" w:hAnsi="Muli"/>
        </w:rPr>
        <w:t>aktywne promowanie mobilności we współpracy z byłymi stypendystami programów europejskich (kadrą i studentami)</w:t>
      </w:r>
      <w:r w:rsidR="00FF472B" w:rsidRPr="00775977">
        <w:rPr>
          <w:rFonts w:ascii="Muli" w:hAnsi="Muli"/>
        </w:rPr>
        <w:t xml:space="preserve"> poprzez uwzględnianie wyników monitorowania działań w zakresie mobilności i współpracy.</w:t>
      </w:r>
    </w:p>
    <w:p w14:paraId="2F0D9292" w14:textId="77777777" w:rsidR="004200EA" w:rsidRPr="00775977" w:rsidRDefault="004200EA" w:rsidP="004200EA">
      <w:pPr>
        <w:pStyle w:val="Default"/>
        <w:rPr>
          <w:rFonts w:ascii="Muli" w:hAnsi="Muli" w:cs="Calibri"/>
          <w:sz w:val="22"/>
          <w:szCs w:val="22"/>
        </w:rPr>
      </w:pPr>
    </w:p>
    <w:p w14:paraId="36BCB1D9" w14:textId="7EFEF7FB" w:rsidR="001271CC" w:rsidRPr="00775977" w:rsidRDefault="004200EA" w:rsidP="001271CC">
      <w:pPr>
        <w:pStyle w:val="Default"/>
        <w:jc w:val="both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sz w:val="22"/>
          <w:szCs w:val="22"/>
        </w:rPr>
        <w:t xml:space="preserve">Równe traktowanie studentów i pracowników Uczelni z poszanowaniem ich godności osobistej jest jedną z fundamentalnych zasad współżycia koleżeńskiego. Jedynym kryterium oceny studentów i pracowników w odniesieniu do ich selekcji w procedurach kwalifikacyjnych </w:t>
      </w:r>
      <w:r w:rsidR="00D6212F">
        <w:rPr>
          <w:rFonts w:ascii="Muli" w:hAnsi="Muli" w:cs="Calibri"/>
          <w:sz w:val="22"/>
          <w:szCs w:val="22"/>
        </w:rPr>
        <w:br/>
      </w:r>
      <w:r w:rsidRPr="00775977">
        <w:rPr>
          <w:rFonts w:ascii="Muli" w:hAnsi="Muli" w:cs="Calibri"/>
          <w:sz w:val="22"/>
          <w:szCs w:val="22"/>
        </w:rPr>
        <w:t>w ramach różnych działań programu Erasmus</w:t>
      </w:r>
      <w:r w:rsidR="006232EB" w:rsidRPr="00775977">
        <w:rPr>
          <w:rFonts w:ascii="Muli" w:hAnsi="Muli" w:cs="Calibri"/>
          <w:sz w:val="22"/>
          <w:szCs w:val="22"/>
        </w:rPr>
        <w:t>+</w:t>
      </w:r>
      <w:r w:rsidRPr="00775977">
        <w:rPr>
          <w:rFonts w:ascii="Muli" w:hAnsi="Muli" w:cs="Calibri"/>
          <w:sz w:val="22"/>
          <w:szCs w:val="22"/>
        </w:rPr>
        <w:t xml:space="preserve"> są osiągnięcia akademickie. </w:t>
      </w:r>
    </w:p>
    <w:p w14:paraId="7FFF9E41" w14:textId="0237AE61" w:rsidR="004200EA" w:rsidRPr="00775977" w:rsidRDefault="00A57C4B" w:rsidP="00A57C4B">
      <w:pPr>
        <w:pStyle w:val="Default"/>
        <w:jc w:val="both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sz w:val="22"/>
          <w:szCs w:val="22"/>
        </w:rPr>
        <w:t xml:space="preserve">Uczelnia zobowiązuje się </w:t>
      </w:r>
      <w:r w:rsidR="001271CC" w:rsidRPr="00775977">
        <w:rPr>
          <w:rFonts w:ascii="Muli" w:hAnsi="Muli" w:cs="Calibri"/>
          <w:sz w:val="22"/>
          <w:szCs w:val="22"/>
        </w:rPr>
        <w:t>aktywnie promować możliwości mobilności</w:t>
      </w:r>
      <w:r w:rsidRPr="00775977">
        <w:rPr>
          <w:rFonts w:ascii="Muli" w:hAnsi="Muli" w:cs="Calibri"/>
          <w:sz w:val="22"/>
          <w:szCs w:val="22"/>
        </w:rPr>
        <w:t xml:space="preserve"> </w:t>
      </w:r>
      <w:r w:rsidR="001271CC" w:rsidRPr="00775977">
        <w:rPr>
          <w:rFonts w:ascii="Muli" w:hAnsi="Muli" w:cs="Calibri"/>
          <w:sz w:val="22"/>
          <w:szCs w:val="22"/>
        </w:rPr>
        <w:t xml:space="preserve">dla osób </w:t>
      </w:r>
      <w:r w:rsidR="00627CE9">
        <w:rPr>
          <w:rFonts w:ascii="Muli" w:hAnsi="Muli" w:cs="Calibri"/>
          <w:sz w:val="22"/>
          <w:szCs w:val="22"/>
        </w:rPr>
        <w:br/>
      </w:r>
      <w:r w:rsidR="001271CC" w:rsidRPr="00775977">
        <w:rPr>
          <w:rFonts w:ascii="Muli" w:hAnsi="Muli" w:cs="Calibri"/>
          <w:sz w:val="22"/>
          <w:szCs w:val="22"/>
        </w:rPr>
        <w:t>o mniejszych szansach ekonomicznych, społecznych, kulturalnych,</w:t>
      </w:r>
      <w:r w:rsidRPr="00775977">
        <w:rPr>
          <w:rFonts w:ascii="Muli" w:hAnsi="Muli" w:cs="Calibri"/>
          <w:sz w:val="22"/>
          <w:szCs w:val="22"/>
        </w:rPr>
        <w:t xml:space="preserve"> </w:t>
      </w:r>
      <w:r w:rsidR="001271CC" w:rsidRPr="00775977">
        <w:rPr>
          <w:rFonts w:ascii="Muli" w:hAnsi="Muli" w:cs="Calibri"/>
          <w:sz w:val="22"/>
          <w:szCs w:val="22"/>
        </w:rPr>
        <w:t>zdrowotn</w:t>
      </w:r>
      <w:r w:rsidRPr="00775977">
        <w:rPr>
          <w:rFonts w:ascii="Muli" w:hAnsi="Muli" w:cs="Calibri"/>
          <w:sz w:val="22"/>
          <w:szCs w:val="22"/>
        </w:rPr>
        <w:t>ych</w:t>
      </w:r>
      <w:r w:rsidR="001271CC" w:rsidRPr="00775977">
        <w:rPr>
          <w:rFonts w:ascii="Muli" w:hAnsi="Muli" w:cs="Calibri"/>
          <w:sz w:val="22"/>
          <w:szCs w:val="22"/>
        </w:rPr>
        <w:t xml:space="preserve"> </w:t>
      </w:r>
      <w:r w:rsidRPr="00775977">
        <w:rPr>
          <w:rFonts w:ascii="Muli" w:hAnsi="Muli" w:cs="Calibri"/>
          <w:sz w:val="22"/>
          <w:szCs w:val="22"/>
        </w:rPr>
        <w:t>i innych w taki sposób, by potrzeby tych osób</w:t>
      </w:r>
      <w:r w:rsidR="001271CC" w:rsidRPr="00775977">
        <w:rPr>
          <w:rFonts w:ascii="Muli" w:hAnsi="Muli" w:cs="Calibri"/>
          <w:sz w:val="22"/>
          <w:szCs w:val="22"/>
        </w:rPr>
        <w:t xml:space="preserve"> w zakresie wsparcia </w:t>
      </w:r>
      <w:r w:rsidRPr="00775977">
        <w:rPr>
          <w:rFonts w:ascii="Muli" w:hAnsi="Muli" w:cs="Calibri"/>
          <w:sz w:val="22"/>
          <w:szCs w:val="22"/>
        </w:rPr>
        <w:t>były</w:t>
      </w:r>
      <w:r w:rsidR="001271CC" w:rsidRPr="00775977">
        <w:rPr>
          <w:rFonts w:ascii="Muli" w:hAnsi="Muli" w:cs="Calibri"/>
          <w:sz w:val="22"/>
          <w:szCs w:val="22"/>
        </w:rPr>
        <w:t xml:space="preserve"> zaspokojone, </w:t>
      </w:r>
      <w:r w:rsidR="00627CE9">
        <w:rPr>
          <w:rFonts w:ascii="Muli" w:hAnsi="Muli" w:cs="Calibri"/>
          <w:sz w:val="22"/>
          <w:szCs w:val="22"/>
        </w:rPr>
        <w:br/>
      </w:r>
      <w:r w:rsidR="001271CC" w:rsidRPr="00775977">
        <w:rPr>
          <w:rFonts w:ascii="Muli" w:hAnsi="Muli" w:cs="Calibri"/>
          <w:sz w:val="22"/>
          <w:szCs w:val="22"/>
        </w:rPr>
        <w:t xml:space="preserve">a ich prywatność poszanowana. </w:t>
      </w:r>
      <w:r w:rsidR="004200EA" w:rsidRPr="00775977">
        <w:rPr>
          <w:rFonts w:ascii="Muli" w:hAnsi="Muli" w:cs="Calibri"/>
          <w:sz w:val="22"/>
          <w:szCs w:val="22"/>
        </w:rPr>
        <w:t xml:space="preserve">Uczelnia podejmuje ciągłe działania, których celem jest likwidacja barier dla osób niepełnosprawnych. </w:t>
      </w:r>
      <w:r w:rsidRPr="00775977">
        <w:rPr>
          <w:rFonts w:ascii="Muli" w:hAnsi="Muli" w:cs="Calibri"/>
          <w:sz w:val="22"/>
          <w:szCs w:val="22"/>
        </w:rPr>
        <w:t xml:space="preserve">W celu zapewnienia równości szans </w:t>
      </w:r>
      <w:r w:rsidR="00627CE9">
        <w:rPr>
          <w:rFonts w:ascii="Muli" w:hAnsi="Muli" w:cs="Calibri"/>
          <w:sz w:val="22"/>
          <w:szCs w:val="22"/>
        </w:rPr>
        <w:br/>
      </w:r>
      <w:r w:rsidRPr="00775977">
        <w:rPr>
          <w:rFonts w:ascii="Muli" w:hAnsi="Muli" w:cs="Calibri"/>
          <w:sz w:val="22"/>
          <w:szCs w:val="22"/>
        </w:rPr>
        <w:t>dla osób o utrudnionym dostępie do edukacji,</w:t>
      </w:r>
      <w:r w:rsidRPr="00775977">
        <w:rPr>
          <w:rFonts w:ascii="Muli" w:hAnsi="Muli"/>
          <w:sz w:val="22"/>
          <w:szCs w:val="22"/>
        </w:rPr>
        <w:t xml:space="preserve"> </w:t>
      </w:r>
      <w:r w:rsidRPr="00775977">
        <w:rPr>
          <w:rFonts w:ascii="Muli" w:hAnsi="Muli" w:cs="Calibri"/>
          <w:sz w:val="22"/>
          <w:szCs w:val="22"/>
        </w:rPr>
        <w:t>Uczelnia przewiduje dodatkowe wsparcie finansowe w postaci stypendiów.</w:t>
      </w:r>
    </w:p>
    <w:p w14:paraId="0C672E4F" w14:textId="77777777" w:rsidR="00A57C4B" w:rsidRPr="00775977" w:rsidRDefault="00A57C4B" w:rsidP="00A57C4B">
      <w:pPr>
        <w:pStyle w:val="Default"/>
        <w:jc w:val="both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sz w:val="22"/>
          <w:szCs w:val="22"/>
        </w:rPr>
        <w:t xml:space="preserve">Dodatkowo Uczelnia zobowiązuje się aktywnie wspierać mobilność mieszaną, to jest łączącą krótkoterminową mobilność fizyczną z komponentem wirtualnym. </w:t>
      </w:r>
    </w:p>
    <w:p w14:paraId="6D684891" w14:textId="7D0A4744" w:rsidR="00A57C4B" w:rsidRDefault="00A57C4B" w:rsidP="004200EA">
      <w:pPr>
        <w:pStyle w:val="Default"/>
        <w:rPr>
          <w:rFonts w:ascii="Muli" w:hAnsi="Muli" w:cs="Calibri"/>
          <w:sz w:val="22"/>
          <w:szCs w:val="22"/>
        </w:rPr>
      </w:pPr>
    </w:p>
    <w:p w14:paraId="0E5CEDD3" w14:textId="77777777" w:rsidR="00627CE9" w:rsidRDefault="00627CE9" w:rsidP="004200EA">
      <w:pPr>
        <w:pStyle w:val="Default"/>
        <w:rPr>
          <w:rFonts w:ascii="Muli" w:hAnsi="Muli" w:cs="Calibri"/>
          <w:sz w:val="22"/>
          <w:szCs w:val="22"/>
        </w:rPr>
      </w:pPr>
    </w:p>
    <w:p w14:paraId="37D22FC2" w14:textId="77777777" w:rsidR="00D6212F" w:rsidRPr="00775977" w:rsidRDefault="00D6212F" w:rsidP="004200EA">
      <w:pPr>
        <w:pStyle w:val="Default"/>
        <w:rPr>
          <w:rFonts w:ascii="Muli" w:hAnsi="Muli" w:cs="Calibri"/>
          <w:sz w:val="22"/>
          <w:szCs w:val="22"/>
        </w:rPr>
      </w:pPr>
    </w:p>
    <w:p w14:paraId="54B4C189" w14:textId="77777777" w:rsidR="004200EA" w:rsidRPr="00775977" w:rsidRDefault="004200EA" w:rsidP="004200EA">
      <w:pPr>
        <w:pStyle w:val="Default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b/>
          <w:bCs/>
          <w:sz w:val="22"/>
          <w:szCs w:val="22"/>
        </w:rPr>
        <w:lastRenderedPageBreak/>
        <w:t>3. Zapewnienie wysokiej jakości działań w ramach programu Erasmus</w:t>
      </w:r>
      <w:r w:rsidR="006232EB" w:rsidRPr="00775977">
        <w:rPr>
          <w:rFonts w:ascii="Muli" w:hAnsi="Muli" w:cs="Calibri"/>
          <w:b/>
          <w:bCs/>
          <w:sz w:val="22"/>
          <w:szCs w:val="22"/>
        </w:rPr>
        <w:t>+</w:t>
      </w:r>
      <w:r w:rsidRPr="00775977">
        <w:rPr>
          <w:rFonts w:ascii="Muli" w:hAnsi="Muli" w:cs="Calibri"/>
          <w:b/>
          <w:bCs/>
          <w:sz w:val="22"/>
          <w:szCs w:val="22"/>
        </w:rPr>
        <w:t xml:space="preserve"> </w:t>
      </w:r>
    </w:p>
    <w:p w14:paraId="35717D1C" w14:textId="77777777" w:rsidR="004200EA" w:rsidRPr="00775977" w:rsidRDefault="004200EA" w:rsidP="004200EA">
      <w:pPr>
        <w:pStyle w:val="Default"/>
        <w:rPr>
          <w:rFonts w:ascii="Muli" w:hAnsi="Muli" w:cs="Calibri"/>
          <w:sz w:val="22"/>
          <w:szCs w:val="22"/>
        </w:rPr>
      </w:pPr>
    </w:p>
    <w:p w14:paraId="5DD97AEE" w14:textId="3AE28F4E" w:rsidR="003E03AE" w:rsidRPr="00775977" w:rsidRDefault="004200EA" w:rsidP="003E03AE">
      <w:pPr>
        <w:pStyle w:val="Default"/>
        <w:jc w:val="both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sz w:val="22"/>
          <w:szCs w:val="22"/>
        </w:rPr>
        <w:t xml:space="preserve">Mobilność studentów i wykładowców jest jednym z ważnych elementów podnoszenia jakości kształcenia i rozwoju osobistego i powinna być wspierana przez Uczelnię. </w:t>
      </w:r>
      <w:r w:rsidR="003E03AE" w:rsidRPr="00775977">
        <w:rPr>
          <w:rFonts w:ascii="Muli" w:hAnsi="Muli" w:cs="Calibri"/>
          <w:sz w:val="22"/>
          <w:szCs w:val="22"/>
        </w:rPr>
        <w:t>PUSB zobowiązuje się do dalszego doskonalenia procesu dydaktycznego sprzyjającego wymianie akademickiej, co przyczyni się do realizacji celów europejskiego obszaru edukacji określonych w komunikacie „Wzmacnianie tożsamości europejskiej poprzez edukację i kulturę”</w:t>
      </w:r>
      <w:r w:rsidR="00F003AC" w:rsidRPr="00775977">
        <w:rPr>
          <w:rFonts w:ascii="Muli" w:hAnsi="Muli" w:cs="Calibri"/>
          <w:sz w:val="22"/>
          <w:szCs w:val="22"/>
        </w:rPr>
        <w:t>.</w:t>
      </w:r>
    </w:p>
    <w:p w14:paraId="7B4DDB8B" w14:textId="5A75E414" w:rsidR="004200EA" w:rsidRPr="00775977" w:rsidRDefault="004200EA" w:rsidP="001F7DD0">
      <w:pPr>
        <w:pStyle w:val="Default"/>
        <w:jc w:val="both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sz w:val="22"/>
          <w:szCs w:val="22"/>
        </w:rPr>
        <w:t xml:space="preserve">Wychodząc naprzeciw zaleceniom procesu Bolońskiego oraz EOSW, </w:t>
      </w:r>
      <w:r w:rsidR="004814B2" w:rsidRPr="00775977">
        <w:rPr>
          <w:rFonts w:ascii="Muli" w:hAnsi="Muli" w:cs="Calibri"/>
          <w:sz w:val="22"/>
          <w:szCs w:val="22"/>
        </w:rPr>
        <w:t>PUSB</w:t>
      </w:r>
      <w:r w:rsidRPr="00775977">
        <w:rPr>
          <w:rFonts w:ascii="Muli" w:hAnsi="Muli" w:cs="Calibri"/>
          <w:sz w:val="22"/>
          <w:szCs w:val="22"/>
        </w:rPr>
        <w:t xml:space="preserve"> </w:t>
      </w:r>
      <w:r w:rsidR="00A57C4B" w:rsidRPr="00775977">
        <w:rPr>
          <w:rFonts w:ascii="Muli" w:hAnsi="Muli" w:cs="Calibri"/>
          <w:sz w:val="22"/>
          <w:szCs w:val="22"/>
        </w:rPr>
        <w:t>doskonali</w:t>
      </w:r>
      <w:r w:rsidRPr="00775977">
        <w:rPr>
          <w:rFonts w:ascii="Muli" w:hAnsi="Muli" w:cs="Calibri"/>
          <w:sz w:val="22"/>
          <w:szCs w:val="22"/>
        </w:rPr>
        <w:t xml:space="preserve"> system ECTS na wszystkich kierunkach studiów, aby ułatwić wymianę międzynarodową. Punkty ECTS stanowią podstawę zaliczenia poszczególnych okresów studiów. System ECTS będzie podstawą zaliczenia okresu studiów dla studentów wyjeżdżających </w:t>
      </w:r>
      <w:r w:rsidR="00627CE9">
        <w:rPr>
          <w:rFonts w:ascii="Muli" w:hAnsi="Muli" w:cs="Calibri"/>
          <w:sz w:val="22"/>
          <w:szCs w:val="22"/>
        </w:rPr>
        <w:br/>
      </w:r>
      <w:r w:rsidRPr="00775977">
        <w:rPr>
          <w:rFonts w:ascii="Muli" w:hAnsi="Muli" w:cs="Calibri"/>
          <w:sz w:val="22"/>
          <w:szCs w:val="22"/>
        </w:rPr>
        <w:t xml:space="preserve">i przyjeżdżających na podstawie umowy o kształceniu. Wykaz zaliczonych przedmiotów </w:t>
      </w:r>
      <w:r w:rsidR="004814B2" w:rsidRPr="00775977">
        <w:rPr>
          <w:rFonts w:ascii="Muli" w:hAnsi="Muli" w:cs="Calibri"/>
          <w:sz w:val="22"/>
          <w:szCs w:val="22"/>
        </w:rPr>
        <w:t>jest umieszczany</w:t>
      </w:r>
      <w:r w:rsidRPr="00775977">
        <w:rPr>
          <w:rFonts w:ascii="Muli" w:hAnsi="Muli" w:cs="Calibri"/>
          <w:sz w:val="22"/>
          <w:szCs w:val="22"/>
        </w:rPr>
        <w:t xml:space="preserve"> w suplemencie do dyplomu. Również studenci przyjeżdżający uzyskają podobny wykaz dla Uczelni macierzystej. Wspieranie indywidualnej mobilności studentów to </w:t>
      </w:r>
      <w:r w:rsidR="00AE253C" w:rsidRPr="00775977">
        <w:rPr>
          <w:rFonts w:ascii="Muli" w:hAnsi="Muli" w:cs="Calibri"/>
          <w:sz w:val="22"/>
          <w:szCs w:val="22"/>
        </w:rPr>
        <w:t>m.in.</w:t>
      </w:r>
      <w:r w:rsidRPr="00775977">
        <w:rPr>
          <w:rFonts w:ascii="Muli" w:hAnsi="Muli" w:cs="Calibri"/>
          <w:sz w:val="22"/>
          <w:szCs w:val="22"/>
        </w:rPr>
        <w:t xml:space="preserve"> przygotowanie zarówno kulturowe jak i językowe. Studenci przyjeżdżający będą wspierani w zakresie integracji ze środowiskiem akademickim oraz uczestnictwa w życiu społecznym i kulturowym miasta i regionu. Za proces integracji studentów przyjeżdżających odpowiadał będzie zarówno koordynator, jak również Uczelniana Rada Samorządu Studenckiego. Uczelnia zapewnia pomoc dla studentów przyjeżdżających związaną z organizacją przyjazdu i zakwaterowaniem. Uczelnia planuje podjęcie szeregu działań promujących program Erasmus</w:t>
      </w:r>
      <w:r w:rsidR="006232EB" w:rsidRPr="00775977">
        <w:rPr>
          <w:rFonts w:ascii="Muli" w:hAnsi="Muli" w:cs="Calibri"/>
          <w:sz w:val="22"/>
          <w:szCs w:val="22"/>
        </w:rPr>
        <w:t>+</w:t>
      </w:r>
      <w:r w:rsidRPr="00775977">
        <w:rPr>
          <w:rFonts w:ascii="Muli" w:hAnsi="Muli" w:cs="Calibri"/>
          <w:sz w:val="22"/>
          <w:szCs w:val="22"/>
        </w:rPr>
        <w:t xml:space="preserve"> tj. spotkania ze studentami i kadrą dydaktyczną, spotkania integracyjne dla studentów przyjeżdżających</w:t>
      </w:r>
      <w:r w:rsidR="00320E12" w:rsidRPr="00775977">
        <w:rPr>
          <w:rFonts w:ascii="Muli" w:hAnsi="Muli" w:cs="Calibri"/>
          <w:sz w:val="22"/>
          <w:szCs w:val="22"/>
        </w:rPr>
        <w:t>,</w:t>
      </w:r>
      <w:r w:rsidRPr="00775977">
        <w:rPr>
          <w:rFonts w:ascii="Muli" w:hAnsi="Muli" w:cs="Calibri"/>
          <w:sz w:val="22"/>
          <w:szCs w:val="22"/>
        </w:rPr>
        <w:t xml:space="preserve"> etc. Wszelkie działania związane z organizacją mobilności będą monitorowane przez </w:t>
      </w:r>
      <w:r w:rsidR="0060025A" w:rsidRPr="00775977">
        <w:rPr>
          <w:rFonts w:ascii="Muli" w:hAnsi="Muli" w:cs="Calibri"/>
          <w:sz w:val="22"/>
          <w:szCs w:val="22"/>
        </w:rPr>
        <w:t>Uczelnianego Koordynatora Erasmus</w:t>
      </w:r>
      <w:r w:rsidR="006232EB" w:rsidRPr="00775977">
        <w:rPr>
          <w:rFonts w:ascii="Muli" w:hAnsi="Muli" w:cs="Calibri"/>
          <w:sz w:val="22"/>
          <w:szCs w:val="22"/>
        </w:rPr>
        <w:t>+</w:t>
      </w:r>
      <w:r w:rsidRPr="00775977">
        <w:rPr>
          <w:rFonts w:ascii="Muli" w:hAnsi="Muli" w:cs="Calibri"/>
          <w:sz w:val="22"/>
          <w:szCs w:val="22"/>
        </w:rPr>
        <w:t xml:space="preserve">. Mobilność pracowników będzie wspierana poprzez m.in. dostosowywanie planów zajęć, obniżenie pensum. </w:t>
      </w:r>
    </w:p>
    <w:p w14:paraId="28DC9CAE" w14:textId="75C01448" w:rsidR="00320E12" w:rsidRPr="00775977" w:rsidRDefault="00320E12" w:rsidP="001F7DD0">
      <w:pPr>
        <w:pStyle w:val="Default"/>
        <w:jc w:val="both"/>
        <w:rPr>
          <w:rFonts w:ascii="Muli" w:hAnsi="Muli" w:cs="Calibri"/>
          <w:sz w:val="22"/>
          <w:szCs w:val="22"/>
        </w:rPr>
      </w:pPr>
    </w:p>
    <w:p w14:paraId="32738160" w14:textId="77777777" w:rsidR="004200EA" w:rsidRPr="00775977" w:rsidRDefault="004200EA" w:rsidP="004200EA">
      <w:pPr>
        <w:pStyle w:val="Default"/>
        <w:rPr>
          <w:rFonts w:ascii="Muli" w:hAnsi="Muli" w:cs="Calibri"/>
          <w:sz w:val="22"/>
          <w:szCs w:val="22"/>
        </w:rPr>
      </w:pPr>
      <w:r w:rsidRPr="00775977">
        <w:rPr>
          <w:rFonts w:ascii="Muli" w:hAnsi="Muli" w:cs="Calibri"/>
          <w:b/>
          <w:bCs/>
          <w:sz w:val="22"/>
          <w:szCs w:val="22"/>
        </w:rPr>
        <w:t xml:space="preserve">4. Praktyki studenckie </w:t>
      </w:r>
    </w:p>
    <w:p w14:paraId="14370244" w14:textId="77777777" w:rsidR="004200EA" w:rsidRPr="00775977" w:rsidRDefault="004200EA" w:rsidP="004200EA">
      <w:pPr>
        <w:pStyle w:val="Default"/>
        <w:rPr>
          <w:rFonts w:ascii="Muli" w:hAnsi="Muli" w:cs="Calibri"/>
          <w:sz w:val="22"/>
          <w:szCs w:val="22"/>
        </w:rPr>
      </w:pPr>
    </w:p>
    <w:p w14:paraId="1D5E9BA2" w14:textId="36CB2EAB" w:rsidR="005166E1" w:rsidRPr="00775977" w:rsidRDefault="004200EA" w:rsidP="001F7DD0">
      <w:pPr>
        <w:jc w:val="both"/>
        <w:rPr>
          <w:rFonts w:ascii="Muli" w:hAnsi="Muli"/>
        </w:rPr>
      </w:pPr>
      <w:r w:rsidRPr="00775977">
        <w:rPr>
          <w:rFonts w:ascii="Muli" w:hAnsi="Muli" w:cs="Calibri"/>
        </w:rPr>
        <w:t xml:space="preserve">Praktyki studenckie są integralną częścią programów studiów i ich celem jest przygotowanie studenta do zawodu. </w:t>
      </w:r>
      <w:r w:rsidR="002A2F5D" w:rsidRPr="00775977">
        <w:rPr>
          <w:rFonts w:ascii="Muli" w:hAnsi="Muli" w:cs="Calibri"/>
        </w:rPr>
        <w:t>Organizacja praktyk</w:t>
      </w:r>
      <w:r w:rsidRPr="00775977">
        <w:rPr>
          <w:rFonts w:ascii="Muli" w:hAnsi="Muli" w:cs="Calibri"/>
        </w:rPr>
        <w:t xml:space="preserve"> zapewniana jest poprzez Biur</w:t>
      </w:r>
      <w:r w:rsidR="004814B2" w:rsidRPr="00775977">
        <w:rPr>
          <w:rFonts w:ascii="Muli" w:hAnsi="Muli" w:cs="Calibri"/>
        </w:rPr>
        <w:t>o</w:t>
      </w:r>
      <w:r w:rsidRPr="00775977">
        <w:rPr>
          <w:rFonts w:ascii="Muli" w:hAnsi="Muli" w:cs="Calibri"/>
        </w:rPr>
        <w:t xml:space="preserve"> Karier, które nadzoruje ich realizację. Praktyki studenckie odbywają się systematycznie </w:t>
      </w:r>
      <w:r w:rsidR="00627CE9">
        <w:rPr>
          <w:rFonts w:ascii="Muli" w:hAnsi="Muli" w:cs="Calibri"/>
        </w:rPr>
        <w:br/>
      </w:r>
      <w:r w:rsidRPr="00775977">
        <w:rPr>
          <w:rFonts w:ascii="Muli" w:hAnsi="Muli" w:cs="Calibri"/>
        </w:rPr>
        <w:t xml:space="preserve">w ciągu całego toku studiów, a ich przebieg rejestrowany jest w Dzienniczkach Praktyk. Student odbywa praktyki w poszczególnych instytucjach na podstawie zawartych umów o przebiegu praktyk. Ich koordynacja odbywa się obustronnie, tzn. studentowi zostaje przydzielony opiekun z ramienia zarówno Uczelni, jak i instytucji, w której odbywają </w:t>
      </w:r>
      <w:r w:rsidR="00627CE9">
        <w:rPr>
          <w:rFonts w:ascii="Muli" w:hAnsi="Muli" w:cs="Calibri"/>
        </w:rPr>
        <w:br/>
      </w:r>
      <w:r w:rsidRPr="00775977">
        <w:rPr>
          <w:rFonts w:ascii="Muli" w:hAnsi="Muli" w:cs="Calibri"/>
        </w:rPr>
        <w:t xml:space="preserve">się praktyki. Całość zasad związana z organizacją i realizacją praktyk zawarta jest </w:t>
      </w:r>
      <w:r w:rsidR="00627CE9">
        <w:rPr>
          <w:rFonts w:ascii="Muli" w:hAnsi="Muli" w:cs="Calibri"/>
        </w:rPr>
        <w:br/>
      </w:r>
      <w:r w:rsidRPr="00775977">
        <w:rPr>
          <w:rFonts w:ascii="Muli" w:hAnsi="Muli" w:cs="Calibri"/>
        </w:rPr>
        <w:t xml:space="preserve">w Regulaminie Praktyk </w:t>
      </w:r>
      <w:r w:rsidR="00320E12" w:rsidRPr="00775977">
        <w:rPr>
          <w:rFonts w:ascii="Muli" w:hAnsi="Muli" w:cs="Calibri"/>
        </w:rPr>
        <w:t>powszechnie dostępnym</w:t>
      </w:r>
      <w:r w:rsidRPr="00775977">
        <w:rPr>
          <w:rFonts w:ascii="Muli" w:hAnsi="Muli" w:cs="Calibri"/>
        </w:rPr>
        <w:t xml:space="preserve"> dla studentów. Realizacja praktyk studenckich w ramach programu Erasmus</w:t>
      </w:r>
      <w:r w:rsidR="006232EB" w:rsidRPr="00775977">
        <w:rPr>
          <w:rFonts w:ascii="Muli" w:hAnsi="Muli" w:cs="Calibri"/>
        </w:rPr>
        <w:t>+</w:t>
      </w:r>
      <w:r w:rsidRPr="00775977">
        <w:rPr>
          <w:rFonts w:ascii="Muli" w:hAnsi="Muli" w:cs="Calibri"/>
        </w:rPr>
        <w:t xml:space="preserve"> odbywać się będzie zarówno na podstawie powyższych zasad, jak również poprzez opracowanie umów pomiędzy studentem, Uczelnią i instytucją, w której praktyki mają się odbywać. Uczelnia zapewnia pełne uznanie okresu praktyk odbytych poza granicami kraju, na podstawie wykazu zrealizowanych zadań w odniesieniu do porozumienia o przebiegu praktyk. Porozumienie to zostanie opracowane przy udziale Kierownika Biura </w:t>
      </w:r>
      <w:r w:rsidR="00320E12" w:rsidRPr="00775977">
        <w:rPr>
          <w:rFonts w:ascii="Muli" w:hAnsi="Muli" w:cs="Calibri"/>
        </w:rPr>
        <w:t>Karier</w:t>
      </w:r>
      <w:r w:rsidRPr="00775977">
        <w:rPr>
          <w:rFonts w:ascii="Muli" w:hAnsi="Muli" w:cs="Calibri"/>
        </w:rPr>
        <w:t xml:space="preserve">. Zaliczenie praktyk jest konieczne </w:t>
      </w:r>
      <w:r w:rsidR="00627CE9">
        <w:rPr>
          <w:rFonts w:ascii="Muli" w:hAnsi="Muli" w:cs="Calibri"/>
        </w:rPr>
        <w:br/>
      </w:r>
      <w:bookmarkStart w:id="0" w:name="_GoBack"/>
      <w:bookmarkEnd w:id="0"/>
      <w:r w:rsidRPr="00775977">
        <w:rPr>
          <w:rFonts w:ascii="Muli" w:hAnsi="Muli" w:cs="Calibri"/>
        </w:rPr>
        <w:t>do zaliczenia semestru, w którym praktyki się odbywają.</w:t>
      </w:r>
      <w:r w:rsidR="00320E12" w:rsidRPr="00775977">
        <w:rPr>
          <w:rFonts w:ascii="Muli" w:hAnsi="Muli" w:cs="Calibri"/>
        </w:rPr>
        <w:t xml:space="preserve"> Rekrutacja na praktyki Erasmus</w:t>
      </w:r>
      <w:r w:rsidR="006232EB" w:rsidRPr="00775977">
        <w:rPr>
          <w:rFonts w:ascii="Muli" w:hAnsi="Muli" w:cs="Calibri"/>
        </w:rPr>
        <w:t>+</w:t>
      </w:r>
      <w:r w:rsidRPr="00775977">
        <w:rPr>
          <w:rFonts w:ascii="Muli" w:hAnsi="Muli" w:cs="Calibri"/>
        </w:rPr>
        <w:t xml:space="preserve"> odbywać się będzie na podstawie odrębnych przepisów, przy zachowaniu zasad równości i braku dyskryminacji.</w:t>
      </w:r>
      <w:r w:rsidR="00CA6995" w:rsidRPr="00775977">
        <w:rPr>
          <w:rFonts w:ascii="Muli" w:hAnsi="Muli" w:cs="Calibri"/>
        </w:rPr>
        <w:t xml:space="preserve"> PUSB w ramach współpracy międzynarodowej będzie umożliwiać studentom z zagranicy odbywanie praktyk w naszym kraju.</w:t>
      </w:r>
    </w:p>
    <w:sectPr w:rsidR="005166E1" w:rsidRPr="00775977" w:rsidSect="00516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BE76C" w14:textId="77777777" w:rsidR="006719F2" w:rsidRDefault="006719F2" w:rsidP="007725FF">
      <w:pPr>
        <w:spacing w:after="0" w:line="240" w:lineRule="auto"/>
      </w:pPr>
      <w:r>
        <w:separator/>
      </w:r>
    </w:p>
  </w:endnote>
  <w:endnote w:type="continuationSeparator" w:id="0">
    <w:p w14:paraId="0D25EE39" w14:textId="77777777" w:rsidR="006719F2" w:rsidRDefault="006719F2" w:rsidP="0077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B8F9" w14:textId="77777777" w:rsidR="007725FF" w:rsidRDefault="007725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972090"/>
      <w:docPartObj>
        <w:docPartGallery w:val="Page Numbers (Bottom of Page)"/>
        <w:docPartUnique/>
      </w:docPartObj>
    </w:sdtPr>
    <w:sdtEndPr/>
    <w:sdtContent>
      <w:p w14:paraId="5F5CFE23" w14:textId="3AB79B80" w:rsidR="007725FF" w:rsidRDefault="001E5FC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C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E72B7" w14:textId="77777777" w:rsidR="007725FF" w:rsidRDefault="007725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F0E3" w14:textId="77777777" w:rsidR="007725FF" w:rsidRDefault="0077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FB4BB" w14:textId="77777777" w:rsidR="006719F2" w:rsidRDefault="006719F2" w:rsidP="007725FF">
      <w:pPr>
        <w:spacing w:after="0" w:line="240" w:lineRule="auto"/>
      </w:pPr>
      <w:r>
        <w:separator/>
      </w:r>
    </w:p>
  </w:footnote>
  <w:footnote w:type="continuationSeparator" w:id="0">
    <w:p w14:paraId="58278BF4" w14:textId="77777777" w:rsidR="006719F2" w:rsidRDefault="006719F2" w:rsidP="0077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27249" w14:textId="77777777" w:rsidR="007725FF" w:rsidRDefault="007725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832C" w14:textId="77777777" w:rsidR="007725FF" w:rsidRDefault="007725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AE4F4" w14:textId="77777777" w:rsidR="007725FF" w:rsidRDefault="007725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5B1"/>
    <w:multiLevelType w:val="hybridMultilevel"/>
    <w:tmpl w:val="31306D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270B8B"/>
    <w:multiLevelType w:val="hybridMultilevel"/>
    <w:tmpl w:val="FAC4BC30"/>
    <w:lvl w:ilvl="0" w:tplc="A6B849BA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1A7C48"/>
    <w:multiLevelType w:val="hybridMultilevel"/>
    <w:tmpl w:val="4AAE8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D72C7"/>
    <w:multiLevelType w:val="hybridMultilevel"/>
    <w:tmpl w:val="1C24E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C259C"/>
    <w:multiLevelType w:val="hybridMultilevel"/>
    <w:tmpl w:val="0956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25819"/>
    <w:multiLevelType w:val="hybridMultilevel"/>
    <w:tmpl w:val="D98086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50D5"/>
    <w:multiLevelType w:val="hybridMultilevel"/>
    <w:tmpl w:val="7E3EAD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90EF8"/>
    <w:multiLevelType w:val="hybridMultilevel"/>
    <w:tmpl w:val="FC087D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62157"/>
    <w:multiLevelType w:val="hybridMultilevel"/>
    <w:tmpl w:val="9632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EA"/>
    <w:rsid w:val="00022211"/>
    <w:rsid w:val="000B654D"/>
    <w:rsid w:val="001271CC"/>
    <w:rsid w:val="001566DC"/>
    <w:rsid w:val="001E5FCA"/>
    <w:rsid w:val="001F7DD0"/>
    <w:rsid w:val="00264A2C"/>
    <w:rsid w:val="002A2F5D"/>
    <w:rsid w:val="00320E12"/>
    <w:rsid w:val="0036706C"/>
    <w:rsid w:val="003E03AE"/>
    <w:rsid w:val="004200EA"/>
    <w:rsid w:val="00440321"/>
    <w:rsid w:val="004814B2"/>
    <w:rsid w:val="004F15A4"/>
    <w:rsid w:val="005166E1"/>
    <w:rsid w:val="00544FF6"/>
    <w:rsid w:val="0060025A"/>
    <w:rsid w:val="006232EB"/>
    <w:rsid w:val="00627CE9"/>
    <w:rsid w:val="006719F2"/>
    <w:rsid w:val="006E47DB"/>
    <w:rsid w:val="006F54AF"/>
    <w:rsid w:val="007725FF"/>
    <w:rsid w:val="00775977"/>
    <w:rsid w:val="007E4576"/>
    <w:rsid w:val="00800372"/>
    <w:rsid w:val="00800A96"/>
    <w:rsid w:val="00817328"/>
    <w:rsid w:val="00A57C4B"/>
    <w:rsid w:val="00AE253C"/>
    <w:rsid w:val="00BB3FAD"/>
    <w:rsid w:val="00CA6995"/>
    <w:rsid w:val="00D6212F"/>
    <w:rsid w:val="00D77C41"/>
    <w:rsid w:val="00DF5095"/>
    <w:rsid w:val="00DF717F"/>
    <w:rsid w:val="00E16FE1"/>
    <w:rsid w:val="00EF4A89"/>
    <w:rsid w:val="00F003AC"/>
    <w:rsid w:val="00F33DB9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8358"/>
  <w15:docId w15:val="{DB5C4B4C-11BE-48A7-84D1-1DE62FD7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0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7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25FF"/>
  </w:style>
  <w:style w:type="paragraph" w:styleId="Stopka">
    <w:name w:val="footer"/>
    <w:basedOn w:val="Normalny"/>
    <w:link w:val="StopkaZnak"/>
    <w:uiPriority w:val="99"/>
    <w:unhideWhenUsed/>
    <w:rsid w:val="0077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5FF"/>
  </w:style>
  <w:style w:type="character" w:styleId="Odwoaniedokomentarza">
    <w:name w:val="annotation reference"/>
    <w:basedOn w:val="Domylnaczcionkaakapitu"/>
    <w:uiPriority w:val="99"/>
    <w:semiHidden/>
    <w:unhideWhenUsed/>
    <w:rsid w:val="00AE2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5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5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15A4"/>
    <w:pPr>
      <w:ind w:left="720"/>
      <w:contextualSpacing/>
    </w:pPr>
  </w:style>
  <w:style w:type="paragraph" w:styleId="Bezodstpw">
    <w:name w:val="No Spacing"/>
    <w:uiPriority w:val="1"/>
    <w:qFormat/>
    <w:rsid w:val="00CA6995"/>
    <w:pPr>
      <w:spacing w:after="0" w:line="240" w:lineRule="auto"/>
    </w:pPr>
  </w:style>
  <w:style w:type="character" w:customStyle="1" w:styleId="gwp9e066e53defaultfonthxmailstyle">
    <w:name w:val="gwp9e066e53_defaultfonthxmailstyle"/>
    <w:rsid w:val="00D6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5F1D15B-AC22-4390-B355-9E4ADAC2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1323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Ewa Pięcek</cp:lastModifiedBy>
  <cp:revision>10</cp:revision>
  <cp:lastPrinted>2020-05-06T07:49:00Z</cp:lastPrinted>
  <dcterms:created xsi:type="dcterms:W3CDTF">2020-04-19T15:43:00Z</dcterms:created>
  <dcterms:modified xsi:type="dcterms:W3CDTF">2020-05-06T07:49:00Z</dcterms:modified>
</cp:coreProperties>
</file>